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49" w:rsidRDefault="000C7F98" w:rsidP="00B3357F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noProof/>
          <w:color w:val="30303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-572770</wp:posOffset>
                </wp:positionV>
                <wp:extent cx="1542415" cy="1550035"/>
                <wp:effectExtent l="0" t="0" r="1905" b="381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249" w:rsidRDefault="00341249">
                            <w:r w:rsidRPr="00341249">
                              <w:drawing>
                                <wp:inline distT="0" distB="0" distL="0" distR="0" wp14:anchorId="042FFFF1" wp14:editId="407A69B0">
                                  <wp:extent cx="1105535" cy="1105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6.15pt;margin-top:-45.1pt;width:121.4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ATswIAALI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" filled="f" stroked="f">
                <v:textbox>
                  <w:txbxContent>
                    <w:p w:rsidR="00341249" w:rsidRDefault="00341249">
                      <w:r w:rsidRPr="00341249">
                        <w:drawing>
                          <wp:inline distT="0" distB="0" distL="0" distR="0" wp14:anchorId="042FFFF1" wp14:editId="407A69B0">
                            <wp:extent cx="1105535" cy="1105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41249" w:rsidRDefault="00341249" w:rsidP="0034124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  <w:t xml:space="preserve">                          </w:t>
      </w:r>
    </w:p>
    <w:p w:rsidR="00341249" w:rsidRPr="00341249" w:rsidRDefault="00341249" w:rsidP="0034124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</w:pPr>
      <w:r w:rsidRPr="00341249">
        <w:rPr>
          <w:rFonts w:ascii="Tahoma" w:eastAsia="Times New Roman" w:hAnsi="Tahoma" w:cs="Titr" w:hint="cs"/>
          <w:b/>
          <w:bCs/>
          <w:color w:val="303030"/>
          <w:sz w:val="36"/>
          <w:szCs w:val="36"/>
          <w:u w:val="single"/>
          <w:rtl/>
        </w:rPr>
        <w:t>شرح وظایف معاون اداری و مالی</w:t>
      </w:r>
      <w:bookmarkStart w:id="0" w:name="_GoBack"/>
      <w:bookmarkEnd w:id="0"/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>ابلاغ كليه مصوبات، مقررات و آيين نامه هاي ابلاغي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 xml:space="preserve"> </w:t>
      </w: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>به واحدهاي ذي ربط و پيگيري و نظارت بر حسن اجراي آن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>تدوين آئين نامه ها و دستور العمل ها و دستور جلسات مرتبط با وظايف معاونت جهت پيشنهاد به مراجع ذي صلاح براي تصويب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 xml:space="preserve">پيشنهاد افراد واجد شرايط براي تصدي سمت هاي مديريتي در حوزه معاونت به رياست 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>دانشکده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>نظارت بر واحدهاي تابعه به منظور حصول اطمينان از حسن اجراي وظايف آنها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 xml:space="preserve">همكاري با ساير معاونت ها جهت حسن اجراي برنامه هاي 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>دانشکده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 xml:space="preserve">اداره و نظارت بر حسن اجراي كليه امور اداري و پشتيباني، مالي و عمراني 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>دانشکده</w:t>
      </w: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>، مطابق با مصوبات، مقررات وآئين نامه هاي مربوط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 xml:space="preserve">رسيدگي به اهداف اجرايي 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>دانشکده</w:t>
      </w: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 xml:space="preserve"> و هدايت و نظارت بر چگونگي گردش كارها و روشهاي كاري مورد عمل درواحدهاي مختلف به منظور ايجاد هماهنگي بين فعاليتهاي مربوط به واحدهاي مختلف در راستاي تحقق اهداف اجرايي 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>دانشکده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 xml:space="preserve">تشكيل كميته تدوين روشهاي اجرايي به منظور بهينه سازي سامانه تعاملات اداري بين واحدهاي تابعه با همكاري ساير معاونتهاي 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>دانشکده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 xml:space="preserve">استقرار فرآيند شناسايي درآمدها و كنترل مناسب بر چرخه مالي به منظور تهيه گزارشات مديريتي مالي در جهت ايجاد انضباط مالي در بخشهاي مختلف </w:t>
      </w:r>
      <w:r w:rsidRPr="00341249">
        <w:rPr>
          <w:rFonts w:ascii="Tahoma" w:eastAsia="Times New Roman" w:hAnsi="Tahoma" w:cs="B Titr" w:hint="cs"/>
          <w:color w:val="303030"/>
          <w:sz w:val="24"/>
          <w:szCs w:val="24"/>
          <w:rtl/>
          <w:lang w:bidi="ar-SA"/>
        </w:rPr>
        <w:t>دانشکده</w:t>
      </w:r>
    </w:p>
    <w:p w:rsidR="00B3357F" w:rsidRPr="00341249" w:rsidRDefault="00B3357F" w:rsidP="0034124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B Titr"/>
          <w:color w:val="303030"/>
          <w:sz w:val="24"/>
          <w:szCs w:val="24"/>
          <w:lang w:bidi="ar-SA"/>
        </w:rPr>
      </w:pPr>
      <w:r w:rsidRPr="00341249">
        <w:rPr>
          <w:rFonts w:ascii="Tahoma" w:eastAsia="Times New Roman" w:hAnsi="Tahoma" w:cs="B Titr"/>
          <w:color w:val="303030"/>
          <w:sz w:val="24"/>
          <w:szCs w:val="24"/>
          <w:rtl/>
          <w:lang w:bidi="ar-SA"/>
        </w:rPr>
        <w:t>انجام ساير امور محوله از سوي مقام مافوق</w:t>
      </w:r>
    </w:p>
    <w:p w:rsidR="00323D45" w:rsidRPr="00341249" w:rsidRDefault="00323D45" w:rsidP="00B3357F">
      <w:pPr>
        <w:bidi/>
        <w:rPr>
          <w:b/>
          <w:bCs/>
        </w:rPr>
      </w:pPr>
    </w:p>
    <w:sectPr w:rsidR="00323D45" w:rsidRPr="00341249" w:rsidSect="003A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163E"/>
    <w:multiLevelType w:val="multilevel"/>
    <w:tmpl w:val="96E433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F"/>
    <w:rsid w:val="000C7F98"/>
    <w:rsid w:val="00323D45"/>
    <w:rsid w:val="00341249"/>
    <w:rsid w:val="003A32A1"/>
    <w:rsid w:val="00B3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moavenat</dc:creator>
  <cp:lastModifiedBy>dr.Seidkhani</cp:lastModifiedBy>
  <cp:revision>2</cp:revision>
  <cp:lastPrinted>2023-10-02T07:22:00Z</cp:lastPrinted>
  <dcterms:created xsi:type="dcterms:W3CDTF">2023-10-02T07:24:00Z</dcterms:created>
  <dcterms:modified xsi:type="dcterms:W3CDTF">2023-10-02T07:24:00Z</dcterms:modified>
</cp:coreProperties>
</file>